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Title"/>
        <w:numPr>
          <w:ilvl w:val="0"/>
          <w:numId w:val="0"/>
        </w:numPr>
        <w:jc w:val="right"/>
        <w:outlineLvl w:val="0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                         </w:t>
      </w:r>
    </w:p>
    <w:p>
      <w:pPr>
        <w:pStyle w:val="ConsPlusTitle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numPr>
          <w:ilvl w:val="0"/>
          <w:numId w:val="0"/>
        </w:numPr>
        <w:jc w:val="center"/>
        <w:outlineLvl w:val="0"/>
        <w:rPr/>
      </w:pPr>
      <w:r>
        <w:rPr>
          <w:rFonts w:cs="Times New Roman" w:ascii="Times New Roman" w:hAnsi="Times New Roman"/>
          <w:sz w:val="28"/>
          <w:szCs w:val="28"/>
        </w:rPr>
        <w:t>АДМИНИСТРАЦИЯ МУНИЦИПАЛЬНОГО ОБРАЗОВАНИЯ -</w:t>
      </w:r>
    </w:p>
    <w:p>
      <w:pPr>
        <w:pStyle w:val="ConsPlusTitle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ЛАКАШИНСКОЕ  СЕЛЬСКОЕ ПОСЕЛЕНИЕ СПАССКОГО МУНИЦИПАЛЬНОГО РАЙОНА РЯЗАНСКОЙ ОБЛАСТИ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ПОСТАНОВЛЕНИЕ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 xml:space="preserve">от </w:t>
      </w:r>
      <w:r>
        <w:rPr>
          <w:rFonts w:cs="Times New Roman" w:ascii="Times New Roman" w:hAnsi="Times New Roman"/>
          <w:sz w:val="28"/>
          <w:szCs w:val="28"/>
        </w:rPr>
        <w:t>28</w:t>
      </w:r>
      <w:r>
        <w:rPr>
          <w:rFonts w:cs="Times New Roman" w:ascii="Times New Roman" w:hAnsi="Times New Roman"/>
          <w:sz w:val="28"/>
          <w:szCs w:val="28"/>
        </w:rPr>
        <w:t xml:space="preserve"> декабря 2020 года                              № </w:t>
      </w:r>
      <w:r>
        <w:rPr>
          <w:rFonts w:cs="Times New Roman" w:ascii="Times New Roman" w:hAnsi="Times New Roman"/>
          <w:sz w:val="28"/>
          <w:szCs w:val="28"/>
        </w:rPr>
        <w:t>68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                         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 xml:space="preserve">Об утверждении </w:t>
      </w:r>
      <w:r>
        <w:rPr>
          <w:b/>
          <w:bCs/>
          <w:sz w:val="28"/>
          <w:szCs w:val="28"/>
        </w:rPr>
        <w:t xml:space="preserve">бюджетного прогноза муниципального образования - Лакашинское </w:t>
      </w:r>
      <w:bookmarkStart w:id="0" w:name="_GoBack"/>
      <w:bookmarkStart w:id="1" w:name="_Hlk21591947"/>
      <w:bookmarkEnd w:id="0"/>
      <w:bookmarkEnd w:id="1"/>
      <w:r>
        <w:rPr>
          <w:b/>
          <w:bCs/>
          <w:sz w:val="28"/>
          <w:szCs w:val="28"/>
        </w:rPr>
        <w:t>сельское поселение Спасского муниципального района Рязанской области на долгосрочный период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/>
      </w:pPr>
      <w:bookmarkStart w:id="2" w:name="_Hlk21591861"/>
      <w:r>
        <w:rPr>
          <w:rFonts w:cs="Times New Roman" w:ascii="Times New Roman" w:hAnsi="Times New Roman"/>
          <w:sz w:val="28"/>
          <w:szCs w:val="28"/>
        </w:rPr>
        <w:t xml:space="preserve">В соответствии со </w:t>
      </w:r>
      <w:r>
        <w:rPr>
          <w:rStyle w:val="Style15"/>
          <w:rFonts w:cs="Times New Roman" w:ascii="Times New Roman" w:hAnsi="Times New Roman"/>
          <w:color w:val="000000"/>
          <w:sz w:val="28"/>
          <w:szCs w:val="28"/>
          <w:u w:val="none"/>
        </w:rPr>
        <w:t>статьей 170.1</w:t>
      </w:r>
      <w:r>
        <w:rPr>
          <w:rFonts w:cs="Times New Roman" w:ascii="Times New Roman" w:hAnsi="Times New Roman"/>
          <w:sz w:val="28"/>
          <w:szCs w:val="28"/>
        </w:rPr>
        <w:t xml:space="preserve"> Бюджетного кодекса Российской Федерации</w:t>
      </w:r>
      <w:bookmarkEnd w:id="2"/>
      <w:r>
        <w:rPr>
          <w:rFonts w:cs="Times New Roman" w:ascii="Times New Roman" w:hAnsi="Times New Roman"/>
          <w:sz w:val="28"/>
          <w:szCs w:val="28"/>
        </w:rPr>
        <w:t xml:space="preserve">, </w:t>
      </w:r>
      <w:r>
        <w:rPr>
          <w:rStyle w:val="Style15"/>
          <w:rFonts w:cs="Times New Roman" w:ascii="Times New Roman" w:hAnsi="Times New Roman"/>
          <w:color w:val="000000"/>
          <w:sz w:val="28"/>
          <w:szCs w:val="28"/>
          <w:u w:val="none"/>
        </w:rPr>
        <w:t>постановлением</w:t>
      </w:r>
      <w:r>
        <w:rPr>
          <w:rFonts w:cs="Times New Roman" w:ascii="Times New Roman" w:hAnsi="Times New Roman"/>
          <w:sz w:val="28"/>
          <w:szCs w:val="28"/>
        </w:rPr>
        <w:t xml:space="preserve">  администрации муниципального образования - Лакашинское сельское поселение Спасского муниципального района Рязанской области на долгосрочный период от 14 июня 2019года №15 «Об утверждении Порядка разработки и утверждения бюджетного прогноза </w:t>
      </w:r>
      <w:bookmarkStart w:id="3" w:name="_Hlk15995305"/>
      <w:r>
        <w:rPr>
          <w:rFonts w:cs="Times New Roman" w:ascii="Times New Roman" w:hAnsi="Times New Roman"/>
          <w:sz w:val="28"/>
          <w:szCs w:val="28"/>
        </w:rPr>
        <w:t>муниципального образования - Лакашинское сельское поселение Спасского муниципального района Рязанской области на долгосрочный период</w:t>
      </w:r>
      <w:bookmarkEnd w:id="3"/>
      <w:r>
        <w:rPr>
          <w:rFonts w:cs="Times New Roman" w:ascii="Times New Roman" w:hAnsi="Times New Roman"/>
          <w:sz w:val="28"/>
          <w:szCs w:val="28"/>
        </w:rPr>
        <w:t xml:space="preserve">» администрация муниципального образования - Лакашинское сельское поселение Спасского муниципального района Рязанской области </w:t>
      </w:r>
      <w:r>
        <w:rPr>
          <w:rFonts w:cs="Times New Roman" w:ascii="Times New Roman" w:hAnsi="Times New Roman"/>
          <w:b/>
          <w:bCs/>
          <w:sz w:val="28"/>
          <w:szCs w:val="28"/>
        </w:rPr>
        <w:t>ПОСТАНОВЛЯЕТ: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 xml:space="preserve">1.Утвердить бюджетный </w:t>
      </w:r>
      <w:r>
        <w:rPr>
          <w:rStyle w:val="Style15"/>
          <w:rFonts w:cs="Times New Roman" w:ascii="Times New Roman" w:hAnsi="Times New Roman"/>
          <w:color w:val="000000"/>
          <w:sz w:val="28"/>
          <w:szCs w:val="28"/>
          <w:u w:val="none"/>
        </w:rPr>
        <w:t>прогноз</w:t>
      </w:r>
      <w:r>
        <w:rPr>
          <w:rFonts w:cs="Times New Roman" w:ascii="Times New Roman" w:hAnsi="Times New Roman"/>
          <w:sz w:val="28"/>
          <w:szCs w:val="28"/>
        </w:rPr>
        <w:t xml:space="preserve"> муниципального образования - Лакашинское сельское поселение Спасского муниципального района Рязанской области на долгосрочный период согласно приложению. </w:t>
      </w:r>
    </w:p>
    <w:p>
      <w:pPr>
        <w:pStyle w:val="ConsPlusNormal"/>
        <w:widowControl w:val="false"/>
        <w:bidi w:val="0"/>
        <w:ind w:left="0" w:right="0" w:firstLine="624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2. Признать утратившим силу постановление администрации Лакашинского сельского поселения №74 от 24.12.2019 года «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Об утверждении бюджетного прогноза муниципального образования - Лакашинское </w:t>
      </w:r>
      <w:bookmarkStart w:id="4" w:name="_GoBack1"/>
      <w:bookmarkStart w:id="5" w:name="_Hlk215919471"/>
      <w:bookmarkEnd w:id="4"/>
      <w:bookmarkEnd w:id="5"/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сельское поселение Спасского муниципального района Рязанской области на долгосрочный период»</w:t>
      </w:r>
    </w:p>
    <w:p>
      <w:pPr>
        <w:pStyle w:val="ConsPlusNormal"/>
        <w:ind w:firstLine="426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3. Опубликовать настоящее постановление на официальном сайте администрации муниципального образования - Спасский муниципальный район Рязанской области в сети "Интернет".</w:t>
      </w:r>
    </w:p>
    <w:p>
      <w:pPr>
        <w:pStyle w:val="ConsPlusNormal"/>
        <w:ind w:firstLine="426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4. Контроль за исполнением настоящего постановления оставляю за собой.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>Глава МО - Лакашинское</w:t>
      </w:r>
    </w:p>
    <w:p>
      <w:pPr>
        <w:pStyle w:val="Normal"/>
        <w:rPr/>
      </w:pPr>
      <w:r>
        <w:rPr>
          <w:sz w:val="28"/>
          <w:szCs w:val="28"/>
        </w:rPr>
        <w:t>сельское поселение                                                  Ю.В. Машнин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beforeAutospacing="1" w:after="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>
          <w:rFonts w:cs="Times New Roman" w:ascii="Times New Roman" w:hAnsi="Times New Roman"/>
          <w:sz w:val="24"/>
          <w:szCs w:val="24"/>
        </w:rPr>
        <w:t>Приложение</w:t>
      </w:r>
    </w:p>
    <w:p>
      <w:pPr>
        <w:pStyle w:val="ConsPlusNormal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к постановлению</w:t>
      </w: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администрации муниципального</w:t>
      </w:r>
    </w:p>
    <w:p>
      <w:pPr>
        <w:pStyle w:val="ConsPlusNormal"/>
        <w:jc w:val="right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образования - Лакашинское</w:t>
      </w: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сельское поселение Спасского </w:t>
      </w: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муниципального района Рязанской области</w:t>
      </w:r>
    </w:p>
    <w:p>
      <w:pPr>
        <w:pStyle w:val="ConsPlusNormal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от </w:t>
      </w:r>
      <w:r>
        <w:rPr>
          <w:rFonts w:cs="Times New Roman" w:ascii="Times New Roman" w:hAnsi="Times New Roman"/>
          <w:sz w:val="24"/>
          <w:szCs w:val="24"/>
        </w:rPr>
        <w:t>28.12.</w:t>
      </w:r>
      <w:r>
        <w:rPr>
          <w:rFonts w:cs="Times New Roman" w:ascii="Times New Roman" w:hAnsi="Times New Roman"/>
          <w:sz w:val="24"/>
          <w:szCs w:val="24"/>
        </w:rPr>
        <w:t>2020 г. №</w:t>
      </w:r>
      <w:r>
        <w:rPr>
          <w:rFonts w:cs="Times New Roman" w:ascii="Times New Roman" w:hAnsi="Times New Roman"/>
          <w:sz w:val="24"/>
          <w:szCs w:val="24"/>
        </w:rPr>
        <w:t>68</w:t>
      </w: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 xml:space="preserve">Бюджетный прогноз </w:t>
      </w:r>
    </w:p>
    <w:p>
      <w:pPr>
        <w:pStyle w:val="ConsPlusTitle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 xml:space="preserve">муниципального образования - Лакашинское сельское поселение Спасского муниципального района Рязанской области </w:t>
      </w:r>
    </w:p>
    <w:p>
      <w:pPr>
        <w:pStyle w:val="ConsPlusTitle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на долгосрочный период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Бюджетный прогноз муниципального образования - </w:t>
      </w:r>
      <w:r>
        <w:rPr>
          <w:rFonts w:cs="Times New Roman"/>
          <w:sz w:val="28"/>
          <w:szCs w:val="28"/>
        </w:rPr>
        <w:t>Лакашинское</w:t>
      </w:r>
      <w:r>
        <w:rPr>
          <w:sz w:val="28"/>
          <w:szCs w:val="28"/>
        </w:rPr>
        <w:t xml:space="preserve"> сельское поселение Спасского муниципального района Рязанской области на долгосрочный период (далее - бюджетный прогноз) разработан на основе долгосрочного прогноза социально-экономического развития муниципального образования - </w:t>
      </w:r>
      <w:r>
        <w:rPr>
          <w:rFonts w:cs="Times New Roman"/>
          <w:sz w:val="28"/>
          <w:szCs w:val="28"/>
        </w:rPr>
        <w:t>Лакашинское</w:t>
      </w:r>
      <w:r>
        <w:rPr>
          <w:sz w:val="28"/>
          <w:szCs w:val="28"/>
        </w:rPr>
        <w:t xml:space="preserve"> сельское поселение Спасского муниципального района Рязанской области на долгосрочный период, утвержденного постановлением администрации Лакашинского сельского поселения   от 30 октября 2020 №47а «О утверждении прогноза социально-экономического развития муниципального образования – Лакашинское сельское поселение Спасского муниципального района Рязанской области на 2021 год и плановый период 2022 - 2023 годов», решения Совета депутатов муниципального образования - </w:t>
      </w:r>
      <w:r>
        <w:rPr>
          <w:rFonts w:cs="Times New Roman"/>
          <w:sz w:val="28"/>
          <w:szCs w:val="28"/>
        </w:rPr>
        <w:t>Лакашинское</w:t>
      </w:r>
      <w:r>
        <w:rPr>
          <w:sz w:val="28"/>
          <w:szCs w:val="28"/>
        </w:rPr>
        <w:t xml:space="preserve"> сельское поселение Спасского муниципального района Рязанской области от </w:t>
      </w:r>
      <w:r>
        <w:rPr>
          <w:sz w:val="28"/>
          <w:szCs w:val="28"/>
        </w:rPr>
        <w:t>28.12.</w:t>
      </w:r>
      <w:r>
        <w:rPr>
          <w:sz w:val="28"/>
          <w:szCs w:val="28"/>
        </w:rPr>
        <w:t>2020 года №</w:t>
      </w:r>
      <w:r>
        <w:rPr>
          <w:sz w:val="28"/>
          <w:szCs w:val="28"/>
        </w:rPr>
        <w:t>24/18</w:t>
      </w:r>
      <w:r>
        <w:rPr>
          <w:sz w:val="28"/>
          <w:szCs w:val="28"/>
        </w:rPr>
        <w:t xml:space="preserve"> «</w:t>
      </w:r>
      <w:r>
        <w:rPr>
          <w:rFonts w:cs="Times New Roman"/>
          <w:b w:val="false"/>
          <w:bCs w:val="false"/>
          <w:color w:val="000000"/>
          <w:sz w:val="28"/>
          <w:szCs w:val="28"/>
        </w:rPr>
        <w:t>О бюджете муниципального образования-Лакашинское сельское поселение Спасского муниципального района Рязанской области на 2021 год и на плановый период 2022 и 2023 годов</w:t>
      </w:r>
      <w:r>
        <w:rPr>
          <w:sz w:val="28"/>
          <w:szCs w:val="28"/>
        </w:rPr>
        <w:t>»,  с учетом основных направлений бюджетной и налоговой политики Лакашинского сельского поселения. Бюджетный прогноз разработан в условиях налогового и бюджетного законодательства, действующего на момент его составления.</w:t>
      </w:r>
    </w:p>
    <w:p>
      <w:pPr>
        <w:pStyle w:val="Normal"/>
        <w:ind w:left="19" w:right="19" w:firstLine="70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2"/>
        </w:numPr>
        <w:ind w:left="1079" w:right="19" w:hanging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Цели и задачи налоговой, бюджетной и долговой </w:t>
      </w:r>
    </w:p>
    <w:p>
      <w:pPr>
        <w:pStyle w:val="Normal"/>
        <w:ind w:left="19" w:right="19" w:firstLine="700"/>
        <w:jc w:val="center"/>
        <w:rPr>
          <w:sz w:val="28"/>
          <w:szCs w:val="28"/>
        </w:rPr>
      </w:pPr>
      <w:r>
        <w:rPr>
          <w:sz w:val="28"/>
          <w:szCs w:val="28"/>
        </w:rPr>
        <w:t>политики в долгосрочном периоде</w:t>
      </w:r>
    </w:p>
    <w:p>
      <w:pPr>
        <w:pStyle w:val="Normal"/>
        <w:ind w:left="19" w:right="19" w:firstLine="70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19" w:right="19" w:firstLine="700"/>
        <w:jc w:val="both"/>
        <w:rPr/>
      </w:pPr>
      <w:r>
        <w:rPr>
          <w:sz w:val="28"/>
          <w:szCs w:val="28"/>
        </w:rPr>
        <w:t xml:space="preserve">Целью долгосрочного бюджетного планирования в Лакашинском сельском поселении является обеспечение предсказуемости динамики доходов и расходов бюджета </w:t>
      </w:r>
      <w:r>
        <w:rPr>
          <w:rFonts w:cs="Times New Roman"/>
          <w:sz w:val="28"/>
          <w:szCs w:val="28"/>
        </w:rPr>
        <w:t>Лакашинского</w:t>
      </w:r>
      <w:r>
        <w:rPr>
          <w:sz w:val="28"/>
          <w:szCs w:val="28"/>
        </w:rPr>
        <w:t xml:space="preserve"> сельского поселения, что позволяет оценивать долгосрочные тенденции изменений объема доходов и расходов, а также вырабатывать на их основе соответствующие меры, направленные на повышение устойчивости и эффективности функционирования бюджетной системы </w:t>
      </w:r>
      <w:r>
        <w:rPr>
          <w:rFonts w:cs="Times New Roman"/>
          <w:sz w:val="28"/>
          <w:szCs w:val="28"/>
        </w:rPr>
        <w:t>Лакашинского</w:t>
      </w:r>
      <w:r>
        <w:rPr>
          <w:sz w:val="28"/>
          <w:szCs w:val="28"/>
        </w:rPr>
        <w:t xml:space="preserve"> сельского поселения. </w:t>
      </w:r>
    </w:p>
    <w:p>
      <w:pPr>
        <w:pStyle w:val="Normal"/>
        <w:ind w:left="19" w:right="19" w:firstLine="700"/>
        <w:jc w:val="both"/>
        <w:rPr/>
      </w:pPr>
      <w:r>
        <w:rPr>
          <w:sz w:val="28"/>
          <w:szCs w:val="28"/>
        </w:rPr>
        <w:t xml:space="preserve">Основная задача долгосрочного бюджетного планирования состоит в увязке проводимой бюджетной политики с задачами по созданию долгосрочного устойчивого роста экономики и повышению уровня и качества жизни населения </w:t>
      </w:r>
      <w:r>
        <w:rPr>
          <w:rFonts w:cs="Times New Roman"/>
          <w:sz w:val="28"/>
          <w:szCs w:val="28"/>
        </w:rPr>
        <w:t>Лакашинского</w:t>
      </w:r>
      <w:r>
        <w:rPr>
          <w:sz w:val="28"/>
          <w:szCs w:val="28"/>
        </w:rPr>
        <w:t xml:space="preserve"> сельского поселения. </w:t>
      </w:r>
    </w:p>
    <w:p>
      <w:pPr>
        <w:pStyle w:val="Normal"/>
        <w:ind w:left="19" w:right="19" w:firstLine="700"/>
        <w:jc w:val="both"/>
        <w:rPr/>
      </w:pPr>
      <w:r>
        <w:rPr>
          <w:sz w:val="28"/>
          <w:szCs w:val="28"/>
        </w:rPr>
        <w:t xml:space="preserve">Бюджетная политика </w:t>
      </w:r>
      <w:r>
        <w:rPr>
          <w:rFonts w:cs="Times New Roman"/>
          <w:sz w:val="28"/>
          <w:szCs w:val="28"/>
        </w:rPr>
        <w:t>Лакашинского</w:t>
      </w:r>
      <w:r>
        <w:rPr>
          <w:sz w:val="28"/>
          <w:szCs w:val="28"/>
        </w:rPr>
        <w:t xml:space="preserve"> сельского поселения на предстоящий период должна в полной мере учитывать прогнозируемые риски развития экономики и предусматривать адекватные меры по минимизации их неблагоприятного влияния на качество жизни населения поселения.</w:t>
      </w:r>
    </w:p>
    <w:p>
      <w:pPr>
        <w:pStyle w:val="Normal"/>
        <w:ind w:left="19" w:right="39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долгосрочный период основными направлениями работы становятся мероприятия, обеспечивающие бюджетную устойчивость и общую макроэкономическую стабильность. </w:t>
      </w:r>
    </w:p>
    <w:p>
      <w:pPr>
        <w:pStyle w:val="Normal"/>
        <w:ind w:left="19" w:right="39" w:firstLine="700"/>
        <w:jc w:val="both"/>
        <w:rPr/>
      </w:pPr>
      <w:r>
        <w:rPr>
          <w:sz w:val="28"/>
          <w:szCs w:val="28"/>
        </w:rPr>
        <w:t xml:space="preserve">В целом долгосрочная бюджетная политика по формированию доходов бюджета </w:t>
      </w:r>
      <w:r>
        <w:rPr>
          <w:rFonts w:cs="Times New Roman"/>
          <w:sz w:val="28"/>
          <w:szCs w:val="28"/>
        </w:rPr>
        <w:t>Лакашинского</w:t>
      </w:r>
      <w:r>
        <w:rPr>
          <w:sz w:val="28"/>
          <w:szCs w:val="28"/>
        </w:rPr>
        <w:t xml:space="preserve"> сельского поселения будет основана на следующих подходах:</w:t>
      </w:r>
    </w:p>
    <w:p>
      <w:pPr>
        <w:pStyle w:val="Normal"/>
        <w:ind w:left="19" w:right="39" w:firstLine="700"/>
        <w:jc w:val="both"/>
        <w:rPr/>
      </w:pPr>
      <w:r>
        <w:rPr>
          <w:sz w:val="28"/>
          <w:szCs w:val="28"/>
        </w:rPr>
        <w:t xml:space="preserve">1)​ упорядочивание системы налоговых льгот, оценка эффективности предоставленных налоговых льгот, повышение их адресности и строгая координация с целями и задачами соответствующих муниципальных программ </w:t>
      </w:r>
      <w:r>
        <w:rPr>
          <w:rFonts w:cs="Times New Roman"/>
          <w:sz w:val="28"/>
          <w:szCs w:val="28"/>
        </w:rPr>
        <w:t>Лакашинского</w:t>
      </w:r>
      <w:r>
        <w:rPr>
          <w:sz w:val="28"/>
          <w:szCs w:val="28"/>
        </w:rPr>
        <w:t xml:space="preserve"> сельского поселения; </w:t>
      </w:r>
    </w:p>
    <w:p>
      <w:pPr>
        <w:pStyle w:val="Normal"/>
        <w:ind w:left="19" w:right="39" w:firstLine="700"/>
        <w:jc w:val="both"/>
        <w:rPr>
          <w:sz w:val="28"/>
          <w:szCs w:val="28"/>
        </w:rPr>
      </w:pPr>
      <w:r>
        <w:rPr>
          <w:sz w:val="28"/>
          <w:szCs w:val="28"/>
        </w:rPr>
        <w:t>2)​ повышение налоговой нагрузки на имущество, в том числе за счет отмены налоговых льгот;</w:t>
      </w:r>
    </w:p>
    <w:p>
      <w:pPr>
        <w:pStyle w:val="Normal"/>
        <w:ind w:left="19" w:right="39" w:firstLine="700"/>
        <w:jc w:val="both"/>
        <w:rPr>
          <w:sz w:val="28"/>
          <w:szCs w:val="28"/>
        </w:rPr>
      </w:pPr>
      <w:r>
        <w:rPr>
          <w:sz w:val="28"/>
          <w:szCs w:val="28"/>
        </w:rPr>
        <w:t>3) сокращение возможностей уклонения от уплаты налогов и сборов за счет увеличения объемов безналичных расчетов, формирования максимально благоприятных условий для добросовестных налогоплательщиков, совершенствования порядка урегулирования задолженности по налогам и сборам;</w:t>
      </w:r>
    </w:p>
    <w:p>
      <w:pPr>
        <w:pStyle w:val="Normal"/>
        <w:ind w:left="19" w:right="39" w:firstLine="700"/>
        <w:jc w:val="both"/>
        <w:rPr>
          <w:sz w:val="28"/>
          <w:szCs w:val="28"/>
        </w:rPr>
      </w:pPr>
      <w:r>
        <w:rPr>
          <w:sz w:val="28"/>
          <w:szCs w:val="28"/>
        </w:rPr>
        <w:t>4) повышение эффективности использования муниципального имущества, обеспечение качественного учета имущества, входящего в состав муниципальной казны, осуществления контроля за использованием объектов муниципальной собственности;</w:t>
      </w:r>
    </w:p>
    <w:p>
      <w:pPr>
        <w:pStyle w:val="Normal"/>
        <w:ind w:left="19" w:right="39" w:firstLine="700"/>
        <w:jc w:val="both"/>
        <w:rPr>
          <w:sz w:val="28"/>
          <w:szCs w:val="28"/>
        </w:rPr>
      </w:pPr>
      <w:r>
        <w:rPr>
          <w:sz w:val="28"/>
          <w:szCs w:val="28"/>
        </w:rPr>
        <w:t>5) продолжение работы по актуализации налоговой базы по земельному налогу, налогу на имущество физических лиц, в целях формирования объективной налогооблагаемой базы по данным налогам и росту доходов местного бюджета.</w:t>
      </w:r>
    </w:p>
    <w:p>
      <w:pPr>
        <w:pStyle w:val="Normal"/>
        <w:ind w:left="19" w:right="39" w:firstLine="700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и реализации бюджетной политики на долгосрочный период необходимо исходить из решения следующих основных задач:</w:t>
      </w:r>
    </w:p>
    <w:p>
      <w:pPr>
        <w:pStyle w:val="Normal"/>
        <w:ind w:left="19" w:right="39" w:firstLine="700"/>
        <w:jc w:val="both"/>
        <w:rPr/>
      </w:pPr>
      <w:r>
        <w:rPr>
          <w:sz w:val="28"/>
          <w:szCs w:val="28"/>
        </w:rPr>
        <w:t xml:space="preserve">1) реализация эффективной бюджетной политики, направленной на долгосрочную устойчивость и сбалансированность  бюджета  </w:t>
      </w:r>
      <w:r>
        <w:rPr>
          <w:rFonts w:cs="Times New Roman"/>
          <w:sz w:val="28"/>
          <w:szCs w:val="28"/>
        </w:rPr>
        <w:t>Лакашинского</w:t>
      </w:r>
      <w:r>
        <w:rPr>
          <w:sz w:val="28"/>
          <w:szCs w:val="28"/>
        </w:rPr>
        <w:t xml:space="preserve"> сельского поселения, укрепление доходной базы, формирование оптимальной структуры расходов бюджета </w:t>
      </w:r>
      <w:r>
        <w:rPr>
          <w:rFonts w:cs="Times New Roman"/>
          <w:sz w:val="28"/>
          <w:szCs w:val="28"/>
        </w:rPr>
        <w:t xml:space="preserve">Лакашинского </w:t>
      </w:r>
      <w:r>
        <w:rPr>
          <w:sz w:val="28"/>
          <w:szCs w:val="28"/>
        </w:rPr>
        <w:t>сельского поселения;</w:t>
      </w:r>
    </w:p>
    <w:p>
      <w:pPr>
        <w:pStyle w:val="Normal"/>
        <w:ind w:left="19" w:right="39" w:firstLine="700"/>
        <w:jc w:val="both"/>
        <w:rPr/>
      </w:pPr>
      <w:r>
        <w:rPr>
          <w:sz w:val="28"/>
          <w:szCs w:val="28"/>
        </w:rPr>
        <w:t xml:space="preserve">2) повышение эффективности бюджетных расходов, формирование бюджетных параметров исходя из четкой приоритизации и необходимости безусловного исполнения действующих расходных обязательств, в том числе с учетом их оптимизации и эффективности исполнения. Необходимо осуществлять взвешенный подход к принятию новых расходных обязательств и сокращать неэффективные бюджетные расходы. При исполнении бюджета  </w:t>
      </w:r>
      <w:r>
        <w:rPr>
          <w:rFonts w:cs="Times New Roman"/>
          <w:sz w:val="28"/>
          <w:szCs w:val="28"/>
        </w:rPr>
        <w:t>Лакашинского</w:t>
      </w:r>
      <w:r>
        <w:rPr>
          <w:sz w:val="28"/>
          <w:szCs w:val="28"/>
        </w:rPr>
        <w:t xml:space="preserve"> сельского поселения необходимо обеспечить максимальную экономию бюджетных средств за счет их рационального использования. Направления и мероприятия социально-экономической политики, реализуемые в рамках муниципальных программ </w:t>
      </w:r>
      <w:r>
        <w:rPr>
          <w:rFonts w:cs="Times New Roman"/>
          <w:sz w:val="28"/>
          <w:szCs w:val="28"/>
        </w:rPr>
        <w:t>Лакашинского</w:t>
      </w:r>
      <w:r>
        <w:rPr>
          <w:sz w:val="28"/>
          <w:szCs w:val="28"/>
        </w:rPr>
        <w:t xml:space="preserve"> сельского поселения, должна иметь надежное финансовое обеспечение. Должны быть определены объемы финансовых ресурсов, необходимые для достижения конкретных целей и количественно определенных результатов. </w:t>
      </w:r>
    </w:p>
    <w:p>
      <w:pPr>
        <w:pStyle w:val="Normal"/>
        <w:ind w:left="19" w:right="39" w:firstLine="700"/>
        <w:jc w:val="both"/>
        <w:rPr/>
      </w:pPr>
      <w:r>
        <w:rPr>
          <w:sz w:val="28"/>
          <w:szCs w:val="28"/>
        </w:rPr>
        <w:t xml:space="preserve">Особое внимание должно быть уделено обоснованности механизмов реализации муниципальных программ </w:t>
      </w:r>
      <w:r>
        <w:rPr>
          <w:rFonts w:cs="Times New Roman"/>
          <w:sz w:val="28"/>
          <w:szCs w:val="28"/>
        </w:rPr>
        <w:t xml:space="preserve">Лакашинского </w:t>
      </w:r>
      <w:r>
        <w:rPr>
          <w:sz w:val="28"/>
          <w:szCs w:val="28"/>
        </w:rPr>
        <w:t>сельского поселения по стабилизации социально-экономического положения и формированию предпосылок устойчивого развития сельского поселения;</w:t>
      </w:r>
    </w:p>
    <w:p>
      <w:pPr>
        <w:pStyle w:val="Normal"/>
        <w:ind w:left="19" w:right="39" w:firstLine="700"/>
        <w:jc w:val="both"/>
        <w:rPr>
          <w:sz w:val="28"/>
          <w:szCs w:val="28"/>
        </w:rPr>
      </w:pPr>
      <w:r>
        <w:rPr>
          <w:sz w:val="28"/>
          <w:szCs w:val="28"/>
        </w:rPr>
        <w:t>3)​ повышение эффективности бюджетных расходов;</w:t>
      </w:r>
    </w:p>
    <w:p>
      <w:pPr>
        <w:pStyle w:val="Normal"/>
        <w:ind w:left="19" w:right="39" w:firstLine="700"/>
        <w:jc w:val="both"/>
        <w:rPr>
          <w:sz w:val="28"/>
          <w:szCs w:val="28"/>
        </w:rPr>
      </w:pPr>
      <w:r>
        <w:rPr>
          <w:sz w:val="28"/>
          <w:szCs w:val="28"/>
        </w:rPr>
        <w:t>4)​ повышение эффективности системы муниципального финансового контроля, внутреннего финансового контроля и внутреннего финансового аудита, что будет способствовать сокращению нарушений законодательства о контрактной системе и повышению эффективности (результативности и экономности) бюджетных расходов;</w:t>
      </w:r>
    </w:p>
    <w:p>
      <w:pPr>
        <w:pStyle w:val="Normal"/>
        <w:ind w:left="19" w:right="39" w:firstLine="700"/>
        <w:jc w:val="both"/>
        <w:rPr>
          <w:sz w:val="28"/>
          <w:szCs w:val="28"/>
        </w:rPr>
      </w:pPr>
      <w:r>
        <w:rPr>
          <w:sz w:val="28"/>
          <w:szCs w:val="28"/>
        </w:rPr>
        <w:t>5) формирование и исполнение бюджета программно-целевым методом с целью повышения эффективности системы муниципального финансового контроля и перехода к оценке эффективности (результативности и экономности) бюджетных расходов;</w:t>
      </w:r>
    </w:p>
    <w:p>
      <w:pPr>
        <w:pStyle w:val="Normal"/>
        <w:ind w:left="19" w:right="39" w:firstLine="700"/>
        <w:jc w:val="both"/>
        <w:rPr/>
      </w:pPr>
      <w:r>
        <w:rPr>
          <w:sz w:val="28"/>
          <w:szCs w:val="28"/>
        </w:rPr>
        <w:t xml:space="preserve">6)​ обеспечение открытости и прозрачности муниципальных финансов, размещение нормативно правовых актов, регулирующих бюджетный процесс </w:t>
      </w:r>
      <w:r>
        <w:rPr>
          <w:rFonts w:cs="Times New Roman"/>
          <w:sz w:val="28"/>
          <w:szCs w:val="28"/>
        </w:rPr>
        <w:t xml:space="preserve">Лакашинского </w:t>
      </w:r>
      <w:r>
        <w:rPr>
          <w:sz w:val="28"/>
          <w:szCs w:val="28"/>
        </w:rPr>
        <w:t>сельского поселения. Обеспечение доступности, открытости и возможности ознакомления граждан с процессом формирования и исполнения бюджета за счет публикации созданным на сайте раздела «Бюджет для граждан»;</w:t>
      </w:r>
    </w:p>
    <w:p>
      <w:pPr>
        <w:pStyle w:val="Normal"/>
        <w:ind w:left="19" w:right="39" w:firstLine="700"/>
        <w:jc w:val="both"/>
        <w:rPr/>
      </w:pPr>
      <w:r>
        <w:rPr>
          <w:sz w:val="28"/>
          <w:szCs w:val="28"/>
        </w:rPr>
        <w:t xml:space="preserve">7)​ повышение самостоятельности и ответственности органов местного самоуправления </w:t>
      </w:r>
      <w:r>
        <w:rPr>
          <w:rFonts w:cs="Times New Roman"/>
          <w:sz w:val="28"/>
          <w:szCs w:val="28"/>
        </w:rPr>
        <w:t>Лакашинского</w:t>
      </w:r>
      <w:r>
        <w:rPr>
          <w:sz w:val="28"/>
          <w:szCs w:val="28"/>
        </w:rPr>
        <w:t xml:space="preserve"> сельского поселения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за проводимую бюджетную политику, создание условий для получения наивысших результатов в условиях рационального использования имеющихся ресурсов. Повышение качества управления муниципальными финансами.</w:t>
      </w:r>
    </w:p>
    <w:p>
      <w:pPr>
        <w:pStyle w:val="Normal"/>
        <w:tabs>
          <w:tab w:val="left" w:pos="1110" w:leader="none"/>
        </w:tabs>
        <w:ind w:right="39" w:hanging="0"/>
        <w:jc w:val="both"/>
        <w:rPr/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Реализация бюджетной политики </w:t>
      </w:r>
      <w:r>
        <w:rPr>
          <w:rFonts w:cs="Times New Roman"/>
          <w:sz w:val="28"/>
          <w:szCs w:val="28"/>
        </w:rPr>
        <w:t xml:space="preserve">Лакашинского </w:t>
      </w:r>
      <w:r>
        <w:rPr>
          <w:sz w:val="28"/>
          <w:szCs w:val="28"/>
        </w:rPr>
        <w:t>сельского поселения в долгосрочном периоде, направлена на планомерную работу по приведению расходных обязательств в соответствии с имеющимися бюджетными возможностями.</w:t>
      </w:r>
    </w:p>
    <w:p>
      <w:pPr>
        <w:pStyle w:val="Normal"/>
        <w:ind w:left="19" w:right="39" w:firstLine="700"/>
        <w:jc w:val="center"/>
        <w:rPr/>
      </w:pPr>
      <w:r>
        <w:rPr>
          <w:sz w:val="28"/>
          <w:szCs w:val="28"/>
        </w:rPr>
        <w:t xml:space="preserve">                                </w:t>
      </w:r>
    </w:p>
    <w:p>
      <w:pPr>
        <w:pStyle w:val="Normal"/>
        <w:numPr>
          <w:ilvl w:val="0"/>
          <w:numId w:val="2"/>
        </w:numPr>
        <w:ind w:left="1079" w:right="39" w:hanging="360"/>
        <w:jc w:val="center"/>
        <w:rPr>
          <w:sz w:val="28"/>
          <w:szCs w:val="28"/>
        </w:rPr>
      </w:pPr>
      <w:r>
        <w:rPr>
          <w:sz w:val="28"/>
          <w:szCs w:val="28"/>
        </w:rPr>
        <w:t>Прогноз основных характеристик бюджета</w:t>
      </w:r>
    </w:p>
    <w:p>
      <w:pPr>
        <w:pStyle w:val="Normal"/>
        <w:ind w:left="19" w:right="39" w:firstLine="700"/>
        <w:jc w:val="center"/>
        <w:rPr/>
      </w:pPr>
      <w:r>
        <w:rPr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Лакашинского </w:t>
      </w:r>
      <w:r>
        <w:rPr>
          <w:sz w:val="28"/>
          <w:szCs w:val="28"/>
        </w:rPr>
        <w:t>сельского поселения</w:t>
      </w:r>
    </w:p>
    <w:p>
      <w:pPr>
        <w:pStyle w:val="Normal"/>
        <w:spacing w:beforeAutospacing="1" w:afterAutospacing="1"/>
        <w:ind w:left="19" w:right="19" w:firstLine="700"/>
        <w:jc w:val="both"/>
        <w:rPr/>
      </w:pPr>
      <w:r>
        <w:rPr>
          <w:sz w:val="28"/>
          <w:szCs w:val="28"/>
        </w:rPr>
        <w:t xml:space="preserve">Прогноз основных характеристик бюджета </w:t>
      </w:r>
      <w:r>
        <w:rPr>
          <w:rFonts w:cs="Times New Roman"/>
          <w:sz w:val="28"/>
          <w:szCs w:val="28"/>
        </w:rPr>
        <w:t>Лакашинского</w:t>
      </w:r>
      <w:r>
        <w:rPr>
          <w:sz w:val="28"/>
          <w:szCs w:val="28"/>
        </w:rPr>
        <w:t xml:space="preserve"> сельского поселения и оценка исполнения за 2020 год представлены в приложении   № 1 к настоящему бюджетному прогнозу.</w:t>
      </w:r>
    </w:p>
    <w:p>
      <w:pPr>
        <w:pStyle w:val="Normal"/>
        <w:spacing w:beforeAutospacing="1" w:afterAutospacing="1"/>
        <w:ind w:left="19" w:right="19" w:firstLine="70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Autospacing="1" w:afterAutospacing="1"/>
        <w:ind w:left="19" w:right="19" w:firstLine="70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2"/>
        </w:numPr>
        <w:ind w:left="1079" w:right="39" w:hanging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Прогноз доходов и расходов </w:t>
      </w:r>
    </w:p>
    <w:p>
      <w:pPr>
        <w:pStyle w:val="Normal"/>
        <w:ind w:left="19" w:right="39" w:firstLine="700"/>
        <w:jc w:val="center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 </w:t>
      </w:r>
      <w:r>
        <w:rPr>
          <w:rFonts w:cs="Times New Roman"/>
          <w:sz w:val="28"/>
          <w:szCs w:val="28"/>
        </w:rPr>
        <w:t>Лакашинского</w:t>
      </w:r>
      <w:r>
        <w:rPr>
          <w:sz w:val="28"/>
          <w:szCs w:val="28"/>
        </w:rPr>
        <w:t xml:space="preserve"> сельского поселения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Долгосрочный прогноз налоговых и неналоговых доходов рассчитан на основе следующих подходов: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Налоговые и неналоговые доходы бюджета спрогнозированы в соответствии с положениями Бюджетного кодекса Российской Федерации, на основе показателей базового варианта прогноза социально- экономического развития на долгосрочный период.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Бюджетный прогноз рассчитан исходя из действующих налоговых и неналоговых доходов и предусматривает сохранение уровня налоговой нагрузки на налогоплательщиков.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Выявление невостребованных земельных участков для получения дополнительных доходов в бюджет поселения.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Прогноз расходов сформирован в соответствии с расходными обязательствами, отнесенными федеральным и областным законодательством Рязанской области к полномочиям органов местного самоуправления и предполагает относительную стабильность структуры расходов в долгосрочной перспективе. Основное направление расходов это - эффективное использование средств дорожного фонда, содержание мест захоронений, мероприятия по благоустройству территории и т.д.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719" w:right="39" w:hang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Показатели финансового обеспечения </w:t>
      </w:r>
    </w:p>
    <w:p>
      <w:pPr>
        <w:pStyle w:val="Normal"/>
        <w:ind w:left="19" w:right="39" w:firstLine="700"/>
        <w:jc w:val="center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муниципальных программ </w:t>
      </w:r>
      <w:r>
        <w:rPr>
          <w:rFonts w:cs="Times New Roman"/>
          <w:sz w:val="28"/>
          <w:szCs w:val="28"/>
        </w:rPr>
        <w:t>Лакашинского</w:t>
      </w:r>
      <w:r>
        <w:rPr>
          <w:sz w:val="28"/>
          <w:szCs w:val="28"/>
        </w:rPr>
        <w:t xml:space="preserve"> сельского поселения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/>
      </w:pPr>
      <w:r>
        <w:rPr>
          <w:sz w:val="28"/>
          <w:szCs w:val="28"/>
        </w:rPr>
        <w:t xml:space="preserve">Постановлением администрации </w:t>
      </w:r>
      <w:r>
        <w:rPr>
          <w:rFonts w:cs="Times New Roman"/>
          <w:sz w:val="28"/>
          <w:szCs w:val="28"/>
        </w:rPr>
        <w:t>Лакашинского</w:t>
      </w:r>
      <w:r>
        <w:rPr>
          <w:sz w:val="28"/>
          <w:szCs w:val="28"/>
        </w:rPr>
        <w:t xml:space="preserve"> сельского поселения от 14 октября 2019г. №46  «Об утверждении муниципальной программы </w:t>
      </w:r>
      <w:r>
        <w:rPr>
          <w:color w:val="000000"/>
          <w:sz w:val="28"/>
          <w:szCs w:val="28"/>
        </w:rPr>
        <w:t xml:space="preserve">«Дорожное хозяйство муниципального образования — Лакашинское сельское поселение Спасского муниципального района Рязанской области», Постановлением администрации </w:t>
      </w:r>
      <w:r>
        <w:rPr>
          <w:rFonts w:cs="Times New Roman"/>
          <w:color w:val="000000"/>
          <w:sz w:val="28"/>
          <w:szCs w:val="28"/>
        </w:rPr>
        <w:t>Лакашинского</w:t>
      </w:r>
      <w:r>
        <w:rPr>
          <w:color w:val="000000"/>
          <w:sz w:val="28"/>
          <w:szCs w:val="28"/>
        </w:rPr>
        <w:t xml:space="preserve"> сельского поселения от 14 октября 2019г. №47  «Об утверждении муниципальной программы «Обеспечение пожарной безопасности на территории муниципального образования — Лакашинское сельское поселение Спасского муниципального района Рязанской области», Постановлением администрации </w:t>
      </w:r>
      <w:r>
        <w:rPr>
          <w:rFonts w:cs="Times New Roman"/>
          <w:color w:val="000000"/>
          <w:sz w:val="28"/>
          <w:szCs w:val="28"/>
        </w:rPr>
        <w:t>Лакашинского</w:t>
      </w:r>
      <w:r>
        <w:rPr>
          <w:color w:val="000000"/>
          <w:sz w:val="28"/>
          <w:szCs w:val="28"/>
        </w:rPr>
        <w:t xml:space="preserve"> сельского поселения от 14 октября 2019г. №48  «Об утверждении муниципальной программы «Повышение эффективности муниципального управления в муниципальном образовании — Лакашинское сельское поселение Спасского муниципального района Рязанской области»</w:t>
      </w:r>
      <w:r>
        <w:rPr>
          <w:sz w:val="28"/>
          <w:szCs w:val="28"/>
        </w:rPr>
        <w:t xml:space="preserve"> определены цели, задачи и ожидаемые результаты муниципальных программ, индикаторы их достижения. </w:t>
      </w:r>
    </w:p>
    <w:p>
      <w:pPr>
        <w:sectPr>
          <w:type w:val="nextPage"/>
          <w:pgSz w:w="11906" w:h="16838"/>
          <w:pgMar w:left="1559" w:right="849" w:header="0" w:top="1276" w:footer="0" w:bottom="851" w:gutter="0"/>
          <w:pgNumType w:fmt="decimal"/>
          <w:formProt w:val="false"/>
          <w:textDirection w:val="lrTb"/>
          <w:docGrid w:type="default" w:linePitch="360" w:charSpace="8192"/>
        </w:sectPr>
        <w:pStyle w:val="Normal"/>
        <w:ind w:firstLine="709"/>
        <w:jc w:val="both"/>
        <w:rPr/>
      </w:pPr>
      <w:r>
        <w:rPr>
          <w:sz w:val="28"/>
          <w:szCs w:val="28"/>
        </w:rPr>
        <w:t xml:space="preserve">Бюджетный прогноз сформирован в программной структуре. Показатели финансового обеспечения муниципальных программ </w:t>
      </w:r>
      <w:r>
        <w:rPr>
          <w:rFonts w:cs="Times New Roman"/>
          <w:sz w:val="28"/>
          <w:szCs w:val="28"/>
        </w:rPr>
        <w:t>Лакашинского</w:t>
      </w:r>
      <w:r>
        <w:rPr>
          <w:sz w:val="28"/>
          <w:szCs w:val="28"/>
        </w:rPr>
        <w:t xml:space="preserve"> сельского поселения на период их действия и не программным направлениям деятельности приведены в приложении № 2 к настоящему бюджетному прогнозу. </w:t>
      </w:r>
    </w:p>
    <w:p>
      <w:pPr>
        <w:pStyle w:val="Normal"/>
        <w:tabs>
          <w:tab w:val="left" w:pos="11595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3"/>
        <w:tblW w:w="15417" w:type="dxa"/>
        <w:jc w:val="left"/>
        <w:tblInd w:w="0" w:type="dxa"/>
        <w:tblCellMar>
          <w:top w:w="0" w:type="dxa"/>
          <w:left w:w="1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597"/>
        <w:gridCol w:w="4819"/>
      </w:tblGrid>
      <w:tr>
        <w:trPr/>
        <w:tc>
          <w:tcPr>
            <w:tcW w:w="10597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1159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tabs>
                <w:tab w:val="left" w:pos="1159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tabs>
                <w:tab w:val="left" w:pos="1159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tabs>
                <w:tab w:val="left" w:pos="11595" w:leader="none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11595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>
            <w:pPr>
              <w:pStyle w:val="Normal"/>
              <w:jc w:val="center"/>
              <w:rPr/>
            </w:pPr>
            <w:r>
              <w:rPr>
                <w:bCs/>
                <w:sz w:val="28"/>
                <w:szCs w:val="28"/>
              </w:rPr>
              <w:t xml:space="preserve">к бюджетному прогнозу </w:t>
            </w:r>
            <w:r>
              <w:rPr>
                <w:rFonts w:cs="Times New Roman"/>
                <w:bCs/>
                <w:sz w:val="28"/>
                <w:szCs w:val="28"/>
              </w:rPr>
              <w:t xml:space="preserve">Лакашинского </w:t>
            </w:r>
            <w:r>
              <w:rPr>
                <w:bCs/>
                <w:sz w:val="28"/>
                <w:szCs w:val="28"/>
              </w:rPr>
              <w:t>сельского поселения на долгосрочный период до 2026 года</w:t>
            </w:r>
          </w:p>
          <w:p>
            <w:pPr>
              <w:pStyle w:val="Normal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</w:p>
          <w:p>
            <w:pPr>
              <w:pStyle w:val="Normal"/>
              <w:tabs>
                <w:tab w:val="left" w:pos="11595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460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62"/>
        <w:gridCol w:w="3582"/>
        <w:gridCol w:w="1590"/>
        <w:gridCol w:w="1650"/>
        <w:gridCol w:w="1365"/>
        <w:gridCol w:w="1351"/>
        <w:gridCol w:w="1305"/>
        <w:gridCol w:w="1245"/>
        <w:gridCol w:w="1708"/>
      </w:tblGrid>
      <w:tr>
        <w:trPr>
          <w:trHeight w:val="732" w:hRule="atLeast"/>
        </w:trPr>
        <w:tc>
          <w:tcPr>
            <w:tcW w:w="12750" w:type="dxa"/>
            <w:gridSpan w:val="8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Прогноз основных характеристик бюджета </w:t>
            </w: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  <w:t>Лакашинского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1708" w:type="dxa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662" w:type="dxa"/>
            <w:tcBorders/>
            <w:shd w:fill="auto" w:val="clear"/>
            <w:vAlign w:val="bottom"/>
          </w:tcPr>
          <w:p>
            <w:pPr>
              <w:pStyle w:val="Normal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3582" w:type="dxa"/>
            <w:tcBorders/>
            <w:shd w:fill="auto" w:val="clear"/>
            <w:vAlign w:val="bottom"/>
          </w:tcPr>
          <w:p>
            <w:pPr>
              <w:pStyle w:val="Normal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1590" w:type="dxa"/>
            <w:tcBorders/>
            <w:shd w:fill="auto" w:val="clear"/>
            <w:vAlign w:val="bottom"/>
          </w:tcPr>
          <w:p>
            <w:pPr>
              <w:pStyle w:val="Normal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1650" w:type="dxa"/>
            <w:tcBorders/>
            <w:shd w:fill="auto" w:val="clear"/>
            <w:vAlign w:val="bottom"/>
          </w:tcPr>
          <w:p>
            <w:pPr>
              <w:pStyle w:val="Normal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1365" w:type="dxa"/>
            <w:tcBorders/>
            <w:shd w:fill="auto" w:val="clear"/>
            <w:vAlign w:val="bottom"/>
          </w:tcPr>
          <w:p>
            <w:pPr>
              <w:pStyle w:val="Normal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1351" w:type="dxa"/>
            <w:tcBorders/>
            <w:shd w:fill="auto" w:val="clear"/>
            <w:vAlign w:val="bottom"/>
          </w:tcPr>
          <w:p>
            <w:pPr>
              <w:pStyle w:val="Normal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2550" w:type="dxa"/>
            <w:gridSpan w:val="2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тыс. рублей</w:t>
            </w:r>
          </w:p>
        </w:tc>
        <w:tc>
          <w:tcPr>
            <w:tcW w:w="1708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right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3" w:type="dxa"/>
            </w:tcMar>
            <w:vAlign w:val="bottom"/>
          </w:tcPr>
          <w:p>
            <w:pPr>
              <w:pStyle w:val="Normal"/>
              <w:rPr/>
            </w:pPr>
            <w:r>
              <w:rPr>
                <w:color w:val="000000"/>
                <w:sz w:val="26"/>
                <w:szCs w:val="26"/>
              </w:rPr>
              <w:t>№</w:t>
            </w: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rPr/>
            </w:pPr>
            <w:r>
              <w:rPr>
                <w:color w:val="000000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2020 год</w:t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факт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2021год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2023 год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2024 год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2025 год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2025 год</w:t>
            </w:r>
            <w:r>
              <w:rPr/>
              <w:t xml:space="preserve">  </w:t>
            </w:r>
          </w:p>
        </w:tc>
      </w:tr>
      <w:tr>
        <w:trPr>
          <w:trHeight w:val="403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3" w:type="dxa"/>
            </w:tcMar>
            <w:vAlign w:val="bottom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>1.</w:t>
            </w: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>Доходы бюджета- всего</w:t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>
                <w:b/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</w:r>
          </w:p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>6451,639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>4764,814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>4842,138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>4778,604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>4778,604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>4778,604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>4778,604</w:t>
            </w:r>
          </w:p>
        </w:tc>
      </w:tr>
      <w:tr>
        <w:trPr>
          <w:trHeight w:val="495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3" w:type="dxa"/>
            </w:tcMar>
            <w:vAlign w:val="bottom"/>
          </w:tcPr>
          <w:p>
            <w:pPr>
              <w:pStyle w:val="Normal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rPr/>
            </w:pPr>
            <w:r>
              <w:rPr>
                <w:color w:val="000000"/>
                <w:sz w:val="26"/>
                <w:szCs w:val="26"/>
              </w:rPr>
              <w:t>в том числе:</w:t>
            </w:r>
          </w:p>
          <w:p>
            <w:pPr>
              <w:pStyle w:val="Normal"/>
              <w:rPr/>
            </w:pPr>
            <w:r>
              <w:rPr>
                <w:color w:val="000000"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2148,364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2305,187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2394,288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2493,094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2493,094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2493,094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2493,094</w:t>
            </w:r>
          </w:p>
        </w:tc>
      </w:tr>
      <w:tr>
        <w:trPr>
          <w:trHeight w:val="413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3" w:type="dxa"/>
            </w:tcMar>
            <w:vAlign w:val="bottom"/>
          </w:tcPr>
          <w:p>
            <w:pPr>
              <w:pStyle w:val="Normal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rPr/>
            </w:pPr>
            <w:r>
              <w:rPr>
                <w:color w:val="000000"/>
                <w:sz w:val="26"/>
                <w:szCs w:val="26"/>
              </w:rPr>
              <w:t>безвозмездные поступления - всего</w:t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4303,275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2459,627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2447,850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2285,510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2285,510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2285,510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2285,510</w:t>
            </w:r>
          </w:p>
        </w:tc>
      </w:tr>
      <w:tr>
        <w:trPr>
          <w:trHeight w:val="277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3" w:type="dxa"/>
            </w:tcMar>
            <w:vAlign w:val="bottom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>2.</w:t>
            </w: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>Расходы бюджета-всего</w:t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>
                <w:b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</w:r>
          </w:p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>6209,392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>4764,814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>4842,138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>4778,604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>4778,604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>4778,604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>4778,604</w:t>
            </w:r>
          </w:p>
        </w:tc>
      </w:tr>
      <w:tr>
        <w:trPr>
          <w:trHeight w:val="636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3" w:type="dxa"/>
            </w:tcMar>
            <w:vAlign w:val="bottom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3.</w:t>
            </w: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rPr/>
            </w:pPr>
            <w:r>
              <w:rPr>
                <w:color w:val="000000"/>
                <w:sz w:val="26"/>
                <w:szCs w:val="26"/>
              </w:rPr>
              <w:t>Дефицит (профицит) бюджета</w:t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</w:r>
          </w:p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242,247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  <w:tr>
        <w:trPr>
          <w:trHeight w:val="702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3" w:type="dxa"/>
            </w:tcMar>
            <w:vAlign w:val="bottom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4.</w:t>
            </w:r>
          </w:p>
        </w:tc>
        <w:tc>
          <w:tcPr>
            <w:tcW w:w="3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rPr/>
            </w:pPr>
            <w:r>
              <w:rPr>
                <w:color w:val="000000"/>
                <w:sz w:val="26"/>
                <w:szCs w:val="26"/>
              </w:rPr>
              <w:t>Муниципальный долг бюджета на первое января</w:t>
            </w:r>
          </w:p>
          <w:p>
            <w:pPr>
              <w:pStyle w:val="Normal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</w:tbl>
    <w:p>
      <w:pPr>
        <w:pStyle w:val="Normal"/>
        <w:tabs>
          <w:tab w:val="left" w:pos="12675" w:leader="none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Style w:val="a3"/>
        <w:tblW w:w="15417" w:type="dxa"/>
        <w:jc w:val="left"/>
        <w:tblInd w:w="0" w:type="dxa"/>
        <w:tblCellMar>
          <w:top w:w="0" w:type="dxa"/>
          <w:left w:w="1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173"/>
        <w:gridCol w:w="5243"/>
      </w:tblGrid>
      <w:tr>
        <w:trPr/>
        <w:tc>
          <w:tcPr>
            <w:tcW w:w="10173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1267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243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11595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tabs>
                <w:tab w:val="left" w:pos="11595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tabs>
                <w:tab w:val="left" w:pos="11595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tabs>
                <w:tab w:val="left" w:pos="11595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tabs>
                <w:tab w:val="left" w:pos="11595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tabs>
                <w:tab w:val="left" w:pos="11595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tabs>
                <w:tab w:val="left" w:pos="11595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tabs>
                <w:tab w:val="left" w:pos="11595" w:leader="none"/>
              </w:tabs>
              <w:jc w:val="center"/>
              <w:rPr/>
            </w:pPr>
            <w:r>
              <w:rPr>
                <w:sz w:val="28"/>
                <w:szCs w:val="28"/>
              </w:rPr>
              <w:t>Приложение №2</w:t>
            </w:r>
          </w:p>
          <w:p>
            <w:pPr>
              <w:pStyle w:val="Normal"/>
              <w:jc w:val="center"/>
              <w:rPr/>
            </w:pPr>
            <w:r>
              <w:rPr>
                <w:bCs/>
                <w:sz w:val="28"/>
                <w:szCs w:val="28"/>
              </w:rPr>
              <w:t xml:space="preserve">к бюджетному прогнозу </w:t>
            </w:r>
            <w:r>
              <w:rPr>
                <w:rFonts w:cs="Times New Roman"/>
                <w:bCs/>
                <w:sz w:val="28"/>
                <w:szCs w:val="28"/>
              </w:rPr>
              <w:t xml:space="preserve">Лакашинского </w:t>
            </w:r>
            <w:r>
              <w:rPr>
                <w:bCs/>
                <w:sz w:val="28"/>
                <w:szCs w:val="28"/>
              </w:rPr>
              <w:t>сельского поселения на долгосрочный период до 2026 года</w:t>
            </w:r>
          </w:p>
          <w:p>
            <w:pPr>
              <w:pStyle w:val="Normal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</w:t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5180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36"/>
        <w:gridCol w:w="4499"/>
        <w:gridCol w:w="1740"/>
        <w:gridCol w:w="1243"/>
        <w:gridCol w:w="1186"/>
        <w:gridCol w:w="1425"/>
        <w:gridCol w:w="1307"/>
        <w:gridCol w:w="1530"/>
        <w:gridCol w:w="2"/>
        <w:gridCol w:w="1510"/>
      </w:tblGrid>
      <w:tr>
        <w:trPr>
          <w:trHeight w:val="915" w:hRule="atLeast"/>
        </w:trPr>
        <w:tc>
          <w:tcPr>
            <w:tcW w:w="13668" w:type="dxa"/>
            <w:gridSpan w:val="9"/>
            <w:tcBorders/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Показатели финансового обеспечения муниципальных программ Лакашинского сельского поселения на период их действия </w:t>
            </w:r>
          </w:p>
        </w:tc>
        <w:tc>
          <w:tcPr>
            <w:tcW w:w="1510" w:type="dxa"/>
            <w:tcBorders/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</w:r>
          </w:p>
        </w:tc>
      </w:tr>
      <w:tr>
        <w:trPr>
          <w:trHeight w:val="345" w:hRule="atLeast"/>
        </w:trPr>
        <w:tc>
          <w:tcPr>
            <w:tcW w:w="736" w:type="dxa"/>
            <w:tcBorders/>
            <w:shd w:fill="auto" w:val="clear"/>
            <w:vAlign w:val="bottom"/>
          </w:tcPr>
          <w:p>
            <w:pPr>
              <w:pStyle w:val="Normal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4499" w:type="dxa"/>
            <w:tcBorders/>
            <w:shd w:fill="auto" w:val="clear"/>
            <w:vAlign w:val="bottom"/>
          </w:tcPr>
          <w:p>
            <w:pPr>
              <w:pStyle w:val="Normal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  <w:p>
            <w:pPr>
              <w:pStyle w:val="Normal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1740" w:type="dxa"/>
            <w:tcBorders/>
            <w:shd w:fill="auto" w:val="clear"/>
            <w:vAlign w:val="bottom"/>
          </w:tcPr>
          <w:p>
            <w:pPr>
              <w:pStyle w:val="Normal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1243" w:type="dxa"/>
            <w:tcBorders/>
            <w:shd w:fill="auto" w:val="clear"/>
            <w:vAlign w:val="bottom"/>
          </w:tcPr>
          <w:p>
            <w:pPr>
              <w:pStyle w:val="Normal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1186" w:type="dxa"/>
            <w:tcBorders/>
            <w:shd w:fill="auto" w:val="clear"/>
            <w:vAlign w:val="bottom"/>
          </w:tcPr>
          <w:p>
            <w:pPr>
              <w:pStyle w:val="Normal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1425" w:type="dxa"/>
            <w:tcBorders/>
            <w:shd w:fill="auto" w:val="clear"/>
            <w:vAlign w:val="bottom"/>
          </w:tcPr>
          <w:p>
            <w:pPr>
              <w:pStyle w:val="Normal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2837" w:type="dxa"/>
            <w:gridSpan w:val="2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6"/>
                <w:szCs w:val="26"/>
              </w:rPr>
              <w:t>тыс. рублей</w:t>
            </w:r>
          </w:p>
        </w:tc>
        <w:tc>
          <w:tcPr>
            <w:tcW w:w="1512" w:type="dxa"/>
            <w:gridSpan w:val="2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right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3" w:type="dxa"/>
            </w:tcMar>
            <w:vAlign w:val="bottom"/>
          </w:tcPr>
          <w:p>
            <w:pPr>
              <w:pStyle w:val="Normal"/>
              <w:rPr/>
            </w:pPr>
            <w:r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rPr/>
            </w:pPr>
            <w:r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2020 год</w:t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факт</w:t>
            </w:r>
          </w:p>
        </w:tc>
        <w:tc>
          <w:tcPr>
            <w:tcW w:w="1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center"/>
              <w:rPr/>
            </w:pPr>
            <w:r>
              <w:rPr/>
              <w:t xml:space="preserve"> </w:t>
            </w:r>
            <w:r>
              <w:rPr>
                <w:sz w:val="24"/>
                <w:szCs w:val="24"/>
              </w:rPr>
              <w:t>2026 год</w:t>
            </w:r>
          </w:p>
        </w:tc>
      </w:tr>
      <w:tr>
        <w:trPr>
          <w:trHeight w:val="675" w:hRule="atLeast"/>
        </w:trPr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3" w:type="dxa"/>
            </w:tcMar>
            <w:vAlign w:val="bottom"/>
          </w:tcPr>
          <w:p>
            <w:pPr>
              <w:pStyle w:val="Normal"/>
              <w:rPr/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rPr/>
            </w:pPr>
            <w:r>
              <w:rPr>
                <w:color w:val="000000"/>
                <w:sz w:val="24"/>
                <w:szCs w:val="24"/>
              </w:rPr>
              <w:t>Расходы бюджета-всего</w:t>
            </w: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6209,392</w:t>
            </w:r>
          </w:p>
        </w:tc>
        <w:tc>
          <w:tcPr>
            <w:tcW w:w="1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4764,814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4842,138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4778,604</w:t>
            </w:r>
          </w:p>
        </w:tc>
        <w:tc>
          <w:tcPr>
            <w:tcW w:w="1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4778,604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4778,604</w:t>
            </w:r>
          </w:p>
        </w:tc>
        <w:tc>
          <w:tcPr>
            <w:tcW w:w="15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4778,604</w:t>
            </w:r>
          </w:p>
        </w:tc>
      </w:tr>
      <w:tr>
        <w:trPr>
          <w:trHeight w:val="1080" w:hRule="atLeast"/>
        </w:trPr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3" w:type="dxa"/>
            </w:tcMar>
            <w:vAlign w:val="bottom"/>
          </w:tcPr>
          <w:p>
            <w:pPr>
              <w:pStyle w:val="Normal"/>
              <w:rPr/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rPr/>
            </w:pPr>
            <w:r>
              <w:rPr>
                <w:color w:val="000000"/>
                <w:sz w:val="24"/>
                <w:szCs w:val="24"/>
              </w:rPr>
              <w:t>в том числе:</w:t>
            </w:r>
          </w:p>
          <w:p>
            <w:pPr>
              <w:pStyle w:val="Normal"/>
              <w:rPr/>
            </w:pPr>
            <w:r>
              <w:rPr>
                <w:color w:val="000000"/>
                <w:sz w:val="24"/>
                <w:szCs w:val="24"/>
              </w:rPr>
              <w:t>Расходы на реализацию муниципальных программ</w:t>
            </w: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5310,760</w:t>
            </w:r>
          </w:p>
        </w:tc>
        <w:tc>
          <w:tcPr>
            <w:tcW w:w="1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3212,605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3232,225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3232,225</w:t>
            </w:r>
          </w:p>
        </w:tc>
        <w:tc>
          <w:tcPr>
            <w:tcW w:w="1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3232,225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3232,225</w:t>
            </w:r>
          </w:p>
        </w:tc>
        <w:tc>
          <w:tcPr>
            <w:tcW w:w="15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3232,225</w:t>
            </w:r>
          </w:p>
        </w:tc>
      </w:tr>
      <w:tr>
        <w:trPr>
          <w:trHeight w:val="1102" w:hRule="atLeast"/>
        </w:trPr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3" w:type="dxa"/>
            </w:tcMar>
            <w:vAlign w:val="bottom"/>
          </w:tcPr>
          <w:p>
            <w:pPr>
              <w:pStyle w:val="Normal"/>
              <w:rPr/>
            </w:pPr>
            <w:r>
              <w:rPr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4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rPr/>
            </w:pPr>
            <w:r>
              <w:rPr>
                <w:color w:val="000000"/>
                <w:sz w:val="24"/>
                <w:szCs w:val="24"/>
              </w:rPr>
              <w:t>В том числе:</w:t>
            </w:r>
          </w:p>
          <w:p>
            <w:pPr>
              <w:pStyle w:val="Normal"/>
              <w:rPr/>
            </w:pPr>
            <w:r>
              <w:rPr>
                <w:color w:val="000000"/>
                <w:sz w:val="24"/>
                <w:szCs w:val="24"/>
              </w:rPr>
              <w:t>Муниципальная программа</w:t>
            </w:r>
          </w:p>
          <w:p>
            <w:pPr>
              <w:pStyle w:val="Normal"/>
              <w:rPr>
                <w:color w:val="000000"/>
                <w:sz w:val="24"/>
                <w:szCs w:val="24"/>
              </w:rPr>
            </w:pPr>
            <w:bookmarkStart w:id="6" w:name="__DdeLink__931_419623029"/>
            <w:r>
              <w:rPr>
                <w:color w:val="000000"/>
                <w:sz w:val="24"/>
                <w:szCs w:val="24"/>
              </w:rPr>
              <w:t>«</w:t>
            </w:r>
            <w:bookmarkEnd w:id="6"/>
            <w:r>
              <w:rPr>
                <w:color w:val="000000"/>
                <w:sz w:val="24"/>
                <w:szCs w:val="24"/>
              </w:rPr>
              <w:t>Повышение эффективности муниципального управления в муниципальном образовании — Лакашинское сельское поселение Спасского муниципального района Рязанской области»</w:t>
            </w: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jc w:val="right"/>
              <w:rPr/>
            </w:pPr>
            <w:r>
              <w:rPr>
                <w:color w:val="000000"/>
                <w:sz w:val="24"/>
                <w:szCs w:val="24"/>
              </w:rPr>
              <w:t>3444,127</w:t>
            </w:r>
          </w:p>
        </w:tc>
        <w:tc>
          <w:tcPr>
            <w:tcW w:w="1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4"/>
                <w:szCs w:val="24"/>
              </w:rPr>
              <w:t>2906,028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4"/>
                <w:szCs w:val="24"/>
              </w:rPr>
              <w:t>2909,349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4"/>
                <w:szCs w:val="24"/>
              </w:rPr>
              <w:t>2909,349</w:t>
            </w:r>
          </w:p>
        </w:tc>
        <w:tc>
          <w:tcPr>
            <w:tcW w:w="1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4"/>
                <w:szCs w:val="24"/>
              </w:rPr>
              <w:t>2909,349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4"/>
                <w:szCs w:val="24"/>
              </w:rPr>
              <w:t>2909,349</w:t>
            </w:r>
          </w:p>
        </w:tc>
        <w:tc>
          <w:tcPr>
            <w:tcW w:w="15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4"/>
                <w:szCs w:val="24"/>
              </w:rPr>
              <w:t>2909,349</w:t>
            </w:r>
          </w:p>
        </w:tc>
      </w:tr>
      <w:tr>
        <w:trPr>
          <w:trHeight w:val="892" w:hRule="atLeast"/>
        </w:trPr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3" w:type="dxa"/>
            </w:tcMar>
            <w:vAlign w:val="bottom"/>
          </w:tcPr>
          <w:p>
            <w:pPr>
              <w:pStyle w:val="Normal"/>
              <w:rPr/>
            </w:pPr>
            <w:r>
              <w:rPr>
                <w:color w:val="000000"/>
                <w:sz w:val="24"/>
                <w:szCs w:val="24"/>
              </w:rPr>
              <w:t>1.1.2.</w:t>
            </w:r>
          </w:p>
        </w:tc>
        <w:tc>
          <w:tcPr>
            <w:tcW w:w="4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rPr/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>
            <w:pPr>
              <w:pStyle w:val="Normal"/>
              <w:rPr/>
            </w:pPr>
            <w:r>
              <w:rPr>
                <w:color w:val="000000"/>
                <w:sz w:val="24"/>
                <w:szCs w:val="24"/>
              </w:rPr>
              <w:t>«Обеспечение пожарной безопасности на территории муниципального образования — Лакашинское сельское поселение Спасского муниципального района Рязанской области»</w:t>
            </w: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jc w:val="right"/>
              <w:rPr/>
            </w:pPr>
            <w:r>
              <w:rPr>
                <w:color w:val="000000"/>
                <w:sz w:val="24"/>
                <w:szCs w:val="24"/>
              </w:rPr>
              <w:t>69,320</w:t>
            </w:r>
          </w:p>
        </w:tc>
        <w:tc>
          <w:tcPr>
            <w:tcW w:w="1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4"/>
                <w:szCs w:val="24"/>
              </w:rPr>
              <w:t>19,340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4"/>
                <w:szCs w:val="24"/>
              </w:rPr>
              <w:t>19,340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4"/>
                <w:szCs w:val="24"/>
              </w:rPr>
              <w:t>19,340</w:t>
            </w:r>
          </w:p>
        </w:tc>
        <w:tc>
          <w:tcPr>
            <w:tcW w:w="1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4"/>
                <w:szCs w:val="24"/>
              </w:rPr>
              <w:t>19,340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4"/>
                <w:szCs w:val="24"/>
              </w:rPr>
              <w:t>19,340</w:t>
            </w:r>
          </w:p>
        </w:tc>
        <w:tc>
          <w:tcPr>
            <w:tcW w:w="15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4"/>
                <w:szCs w:val="24"/>
              </w:rPr>
              <w:t>19,340</w:t>
            </w:r>
          </w:p>
        </w:tc>
      </w:tr>
      <w:tr>
        <w:trPr>
          <w:trHeight w:val="892" w:hRule="atLeast"/>
        </w:trPr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3" w:type="dxa"/>
            </w:tcMar>
            <w:vAlign w:val="bottom"/>
          </w:tcPr>
          <w:p>
            <w:pPr>
              <w:pStyle w:val="Normal"/>
              <w:rPr/>
            </w:pPr>
            <w:r>
              <w:rPr>
                <w:color w:val="000000"/>
                <w:sz w:val="24"/>
                <w:szCs w:val="24"/>
              </w:rPr>
              <w:t>1.1.3.</w:t>
            </w:r>
          </w:p>
        </w:tc>
        <w:tc>
          <w:tcPr>
            <w:tcW w:w="4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rPr/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>
            <w:pPr>
              <w:pStyle w:val="Normal"/>
              <w:rPr/>
            </w:pPr>
            <w:r>
              <w:rPr>
                <w:color w:val="000000"/>
                <w:sz w:val="24"/>
                <w:szCs w:val="24"/>
              </w:rPr>
              <w:t>«Дорожное хозяйство муниципального образования — Лакашинское сельское поселение Спасского муниципального района Рязанской области»</w:t>
            </w: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jc w:val="right"/>
              <w:rPr/>
            </w:pPr>
            <w:r>
              <w:rPr>
                <w:color w:val="000000"/>
                <w:sz w:val="24"/>
                <w:szCs w:val="24"/>
              </w:rPr>
              <w:t>1797,313</w:t>
            </w:r>
          </w:p>
        </w:tc>
        <w:tc>
          <w:tcPr>
            <w:tcW w:w="1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4"/>
                <w:szCs w:val="24"/>
              </w:rPr>
              <w:t>287,237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4"/>
                <w:szCs w:val="24"/>
              </w:rPr>
              <w:t>303,536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4"/>
                <w:szCs w:val="24"/>
              </w:rPr>
              <w:t>303,536</w:t>
            </w:r>
          </w:p>
        </w:tc>
        <w:tc>
          <w:tcPr>
            <w:tcW w:w="1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4"/>
                <w:szCs w:val="24"/>
              </w:rPr>
              <w:t>303,536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4"/>
                <w:szCs w:val="24"/>
              </w:rPr>
              <w:t>303,536</w:t>
            </w:r>
          </w:p>
        </w:tc>
        <w:tc>
          <w:tcPr>
            <w:tcW w:w="15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color w:val="000000"/>
                <w:sz w:val="24"/>
                <w:szCs w:val="24"/>
              </w:rPr>
              <w:t>303,536</w:t>
            </w:r>
          </w:p>
        </w:tc>
      </w:tr>
      <w:tr>
        <w:trPr>
          <w:trHeight w:val="892" w:hRule="atLeast"/>
        </w:trPr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3" w:type="dxa"/>
            </w:tcMar>
            <w:vAlign w:val="bottom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4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118,934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234,526</w:t>
            </w:r>
          </w:p>
        </w:tc>
        <w:tc>
          <w:tcPr>
            <w:tcW w:w="1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234,526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234,526</w:t>
            </w:r>
          </w:p>
        </w:tc>
        <w:tc>
          <w:tcPr>
            <w:tcW w:w="15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234,526</w:t>
            </w:r>
          </w:p>
        </w:tc>
      </w:tr>
      <w:tr>
        <w:trPr>
          <w:trHeight w:val="409" w:hRule="atLeast"/>
        </w:trPr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3" w:type="dxa"/>
            </w:tcMar>
            <w:vAlign w:val="bottom"/>
          </w:tcPr>
          <w:p>
            <w:pPr>
              <w:pStyle w:val="Normal"/>
              <w:rPr/>
            </w:pPr>
            <w:r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rPr/>
            </w:pPr>
            <w:r>
              <w:rPr>
                <w:color w:val="000000"/>
                <w:sz w:val="24"/>
                <w:szCs w:val="24"/>
              </w:rPr>
              <w:t xml:space="preserve">Непрограммное направление деятельности </w:t>
            </w: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898,632</w:t>
            </w:r>
          </w:p>
        </w:tc>
        <w:tc>
          <w:tcPr>
            <w:tcW w:w="1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1552,209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1490,979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1311,853</w:t>
            </w:r>
          </w:p>
        </w:tc>
        <w:tc>
          <w:tcPr>
            <w:tcW w:w="1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1311,853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1311,853</w:t>
            </w:r>
          </w:p>
        </w:tc>
        <w:tc>
          <w:tcPr>
            <w:tcW w:w="15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bottom"/>
          </w:tcPr>
          <w:p>
            <w:pPr>
              <w:pStyle w:val="Normal"/>
              <w:jc w:val="right"/>
              <w:rPr/>
            </w:pPr>
            <w:r>
              <w:rPr>
                <w:b/>
                <w:bCs/>
                <w:color w:val="000000"/>
                <w:sz w:val="24"/>
                <w:szCs w:val="24"/>
              </w:rPr>
              <w:t>1311,853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left"/>
        <w:rPr/>
      </w:pPr>
      <w:r>
        <w:rPr/>
        <w:t xml:space="preserve">                                                                                                                                      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/>
        <w:t xml:space="preserve">                                                                                                                                                     </w:t>
      </w:r>
    </w:p>
    <w:sectPr>
      <w:footerReference w:type="default" r:id="rId2"/>
      <w:type w:val="nextPage"/>
      <w:pgSz w:orient="landscape" w:w="16838" w:h="11906"/>
      <w:pgMar w:left="851" w:right="1276" w:header="0" w:top="851" w:footer="709" w:bottom="851" w:gutter="0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8</w:t>
    </w:r>
    <w:r>
      <w:rPr/>
      <w:fldChar w:fldCharType="end"/>
    </w:r>
  </w:p>
  <w:p>
    <w:pPr>
      <w:pStyle w:val="Style24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1079" w:hanging="360"/>
      </w:pPr>
    </w:lvl>
    <w:lvl w:ilvl="1">
      <w:start w:val="1"/>
      <w:numFmt w:val="lowerLetter"/>
      <w:lvlText w:val="%2."/>
      <w:lvlJc w:val="left"/>
      <w:pPr>
        <w:ind w:left="1799" w:hanging="360"/>
      </w:pPr>
    </w:lvl>
    <w:lvl w:ilvl="2">
      <w:start w:val="1"/>
      <w:numFmt w:val="lowerRoman"/>
      <w:lvlText w:val="%3."/>
      <w:lvlJc w:val="right"/>
      <w:pPr>
        <w:ind w:left="2519" w:hanging="180"/>
      </w:pPr>
    </w:lvl>
    <w:lvl w:ilvl="3">
      <w:start w:val="1"/>
      <w:numFmt w:val="decimal"/>
      <w:lvlText w:val="%4."/>
      <w:lvlJc w:val="left"/>
      <w:pPr>
        <w:ind w:left="3239" w:hanging="360"/>
      </w:pPr>
    </w:lvl>
    <w:lvl w:ilvl="4">
      <w:start w:val="1"/>
      <w:numFmt w:val="lowerLetter"/>
      <w:lvlText w:val="%5."/>
      <w:lvlJc w:val="left"/>
      <w:pPr>
        <w:ind w:left="3959" w:hanging="360"/>
      </w:pPr>
    </w:lvl>
    <w:lvl w:ilvl="5">
      <w:start w:val="1"/>
      <w:numFmt w:val="lowerRoman"/>
      <w:lvlText w:val="%6."/>
      <w:lvlJc w:val="right"/>
      <w:pPr>
        <w:ind w:left="4679" w:hanging="180"/>
      </w:pPr>
    </w:lvl>
    <w:lvl w:ilvl="6">
      <w:start w:val="1"/>
      <w:numFmt w:val="decimal"/>
      <w:lvlText w:val="%7."/>
      <w:lvlJc w:val="left"/>
      <w:pPr>
        <w:ind w:left="5399" w:hanging="360"/>
      </w:pPr>
    </w:lvl>
    <w:lvl w:ilvl="7">
      <w:start w:val="1"/>
      <w:numFmt w:val="lowerLetter"/>
      <w:lvlText w:val="%8."/>
      <w:lvlJc w:val="left"/>
      <w:pPr>
        <w:ind w:left="6119" w:hanging="360"/>
      </w:pPr>
    </w:lvl>
    <w:lvl w:ilvl="8">
      <w:start w:val="1"/>
      <w:numFmt w:val="lowerRoman"/>
      <w:lvlText w:val="%9."/>
      <w:lvlJc w:val="right"/>
      <w:pPr>
        <w:ind w:left="6839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  <w:lsdException w:name="Smart Link Error" w:uiPriority="99" w:semiHidden="1" w:unhideWhenUsed="1"/>
  </w:latentStyles>
  <w:style w:type="paragraph" w:styleId="Normal" w:default="1">
    <w:name w:val="Normal"/>
    <w:qFormat/>
    <w:rsid w:val="00df5ed4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ru-RU" w:eastAsia="ru-RU" w:bidi="ar-SA"/>
    </w:rPr>
  </w:style>
  <w:style w:type="paragraph" w:styleId="4">
    <w:name w:val="Heading 4"/>
    <w:basedOn w:val="Normal"/>
    <w:qFormat/>
    <w:rsid w:val="00df5ed4"/>
    <w:pPr>
      <w:keepNext w:val="true"/>
      <w:jc w:val="center"/>
      <w:outlineLvl w:val="3"/>
    </w:pPr>
    <w:rPr>
      <w:b/>
      <w:bCs/>
      <w:sz w:val="36"/>
      <w:szCs w:val="36"/>
      <w:lang w:val="en-GB"/>
    </w:rPr>
  </w:style>
  <w:style w:type="paragraph" w:styleId="5">
    <w:name w:val="Heading 5"/>
    <w:basedOn w:val="Normal"/>
    <w:link w:val="50"/>
    <w:qFormat/>
    <w:rsid w:val="00df5ed4"/>
    <w:pPr>
      <w:keepNext w:val="true"/>
      <w:spacing w:before="120" w:after="0"/>
      <w:jc w:val="center"/>
      <w:outlineLvl w:val="4"/>
    </w:pPr>
    <w:rPr>
      <w:b/>
      <w:bCs/>
      <w:sz w:val="28"/>
      <w:szCs w:val="28"/>
      <w:lang w:val="en-GB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ppleconvertedspace" w:customStyle="1">
    <w:name w:val="apple-converted-space"/>
    <w:basedOn w:val="DefaultParagraphFont"/>
    <w:qFormat/>
    <w:rsid w:val="00c049c1"/>
    <w:rPr/>
  </w:style>
  <w:style w:type="character" w:styleId="FontStyle43" w:customStyle="1">
    <w:name w:val="Font Style43"/>
    <w:qFormat/>
    <w:rsid w:val="00652700"/>
    <w:rPr>
      <w:rFonts w:ascii="Times New Roman" w:hAnsi="Times New Roman" w:cs="Times New Roman"/>
      <w:sz w:val="22"/>
      <w:szCs w:val="22"/>
    </w:rPr>
  </w:style>
  <w:style w:type="character" w:styleId="FontStyle45" w:customStyle="1">
    <w:name w:val="Font Style45"/>
    <w:qFormat/>
    <w:rsid w:val="00652700"/>
    <w:rPr>
      <w:rFonts w:ascii="Times New Roman" w:hAnsi="Times New Roman" w:cs="Times New Roman"/>
      <w:b/>
      <w:bCs/>
      <w:sz w:val="20"/>
      <w:szCs w:val="20"/>
    </w:rPr>
  </w:style>
  <w:style w:type="character" w:styleId="Style12" w:customStyle="1">
    <w:name w:val="Верхний колонтитул Знак"/>
    <w:basedOn w:val="DefaultParagraphFont"/>
    <w:link w:val="a5"/>
    <w:uiPriority w:val="99"/>
    <w:qFormat/>
    <w:rsid w:val="00652700"/>
    <w:rPr/>
  </w:style>
  <w:style w:type="character" w:styleId="Style13" w:customStyle="1">
    <w:name w:val="Нижний колонтитул Знак"/>
    <w:basedOn w:val="DefaultParagraphFont"/>
    <w:link w:val="a7"/>
    <w:uiPriority w:val="99"/>
    <w:qFormat/>
    <w:rsid w:val="00652700"/>
    <w:rPr/>
  </w:style>
  <w:style w:type="character" w:styleId="51" w:customStyle="1">
    <w:name w:val="Заголовок 5 Знак"/>
    <w:basedOn w:val="DefaultParagraphFont"/>
    <w:link w:val="5"/>
    <w:qFormat/>
    <w:rsid w:val="00630a6e"/>
    <w:rPr>
      <w:b/>
      <w:bCs/>
      <w:sz w:val="28"/>
      <w:szCs w:val="28"/>
      <w:lang w:val="en-GB"/>
    </w:rPr>
  </w:style>
  <w:style w:type="character" w:styleId="Style14" w:customStyle="1">
    <w:name w:val="Заголовок Знак"/>
    <w:basedOn w:val="DefaultParagraphFont"/>
    <w:link w:val="aa"/>
    <w:qFormat/>
    <w:rsid w:val="00f23d68"/>
    <w:rPr>
      <w:b/>
      <w:bCs/>
      <w:sz w:val="40"/>
      <w:szCs w:val="24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Style16">
    <w:name w:val="Символ нумерации"/>
    <w:qFormat/>
    <w:rPr/>
  </w:style>
  <w:style w:type="character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styleId="ListLabel2">
    <w:name w:val="ListLabel 2"/>
    <w:qFormat/>
    <w:rPr>
      <w:rFonts w:ascii="Times New Roman" w:hAnsi="Times New Roman" w:cs="Times New Roman"/>
      <w:color w:val="000000"/>
      <w:sz w:val="28"/>
      <w:szCs w:val="28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Iauiue" w:customStyle="1">
    <w:name w:val="Iau?iue"/>
    <w:qFormat/>
    <w:rsid w:val="00df5ed4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semiHidden/>
    <w:qFormat/>
    <w:rsid w:val="002a4969"/>
    <w:pPr/>
    <w:rPr>
      <w:rFonts w:ascii="Tahoma" w:hAnsi="Tahoma" w:cs="Tahoma"/>
      <w:sz w:val="16"/>
      <w:szCs w:val="16"/>
    </w:rPr>
  </w:style>
  <w:style w:type="paragraph" w:styleId="Style23" w:customStyle="1">
    <w:name w:val="Style23"/>
    <w:basedOn w:val="Normal"/>
    <w:qFormat/>
    <w:rsid w:val="00652700"/>
    <w:pPr>
      <w:widowControl w:val="false"/>
      <w:spacing w:lineRule="exact" w:line="274"/>
    </w:pPr>
    <w:rPr>
      <w:rFonts w:ascii="Arial" w:hAnsi="Arial"/>
      <w:sz w:val="24"/>
      <w:szCs w:val="24"/>
    </w:rPr>
  </w:style>
  <w:style w:type="paragraph" w:styleId="Style22">
    <w:name w:val="Header"/>
    <w:basedOn w:val="Normal"/>
    <w:link w:val="a6"/>
    <w:uiPriority w:val="99"/>
    <w:rsid w:val="00652700"/>
    <w:pPr>
      <w:tabs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a8"/>
    <w:uiPriority w:val="99"/>
    <w:rsid w:val="00652700"/>
    <w:pPr>
      <w:tabs>
        <w:tab w:val="center" w:pos="4677" w:leader="none"/>
        <w:tab w:val="right" w:pos="9355" w:leader="none"/>
      </w:tabs>
    </w:pPr>
    <w:rPr/>
  </w:style>
  <w:style w:type="paragraph" w:styleId="ConsPlusNormal" w:customStyle="1">
    <w:name w:val="ConsPlusNormal"/>
    <w:qFormat/>
    <w:rsid w:val="000616fb"/>
    <w:pPr>
      <w:widowControl w:val="false"/>
      <w:bidi w:val="0"/>
      <w:jc w:val="left"/>
    </w:pPr>
    <w:rPr>
      <w:rFonts w:ascii="Calibri" w:hAnsi="Calibri" w:eastAsia="Times New Roman" w:cs="Calibri"/>
      <w:color w:val="00000A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qFormat/>
    <w:rsid w:val="000616fb"/>
    <w:pPr>
      <w:widowControl w:val="false"/>
      <w:bidi w:val="0"/>
      <w:jc w:val="left"/>
    </w:pPr>
    <w:rPr>
      <w:rFonts w:ascii="Calibri" w:hAnsi="Calibri" w:eastAsia="Times New Roman" w:cs="Calibri"/>
      <w:b/>
      <w:color w:val="00000A"/>
      <w:kern w:val="0"/>
      <w:sz w:val="22"/>
      <w:szCs w:val="20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b94d1d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25">
    <w:name w:val="Title"/>
    <w:basedOn w:val="Normal"/>
    <w:link w:val="ab"/>
    <w:qFormat/>
    <w:rsid w:val="00f23d68"/>
    <w:pPr>
      <w:jc w:val="center"/>
    </w:pPr>
    <w:rPr>
      <w:b/>
      <w:bCs/>
      <w:sz w:val="40"/>
      <w:szCs w:val="24"/>
    </w:rPr>
  </w:style>
  <w:style w:type="paragraph" w:styleId="1" w:customStyle="1">
    <w:name w:val="заголовок 1"/>
    <w:basedOn w:val="Normal"/>
    <w:qFormat/>
    <w:rsid w:val="00f23d68"/>
    <w:pPr>
      <w:keepNext w:val="true"/>
    </w:pPr>
    <w:rPr>
      <w:sz w:val="28"/>
      <w:szCs w:val="28"/>
    </w:rPr>
  </w:style>
  <w:style w:type="paragraph" w:styleId="Style26">
    <w:name w:val="Содержимое врезки"/>
    <w:basedOn w:val="Normal"/>
    <w:qFormat/>
    <w:pPr/>
    <w:rPr/>
  </w:style>
  <w:style w:type="paragraph" w:styleId="Style27">
    <w:name w:val="Содержимое таблицы"/>
    <w:basedOn w:val="Normal"/>
    <w:qFormat/>
    <w:pPr>
      <w:suppressLineNumbers/>
    </w:pPr>
    <w:rPr/>
  </w:style>
  <w:style w:type="paragraph" w:styleId="Style28">
    <w:name w:val="Заголовок таблицы"/>
    <w:basedOn w:val="Style27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df5ed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F0C53-41F5-44F2-AAAD-CC4016B87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Application>LibreOffice/6.0.2.1$Windows_x86 LibreOffice_project/f7f06a8f319e4b62f9bc5095aa112a65d2f3ac89</Application>
  <Pages>8</Pages>
  <Words>1387</Words>
  <Characters>10827</Characters>
  <CharactersWithSpaces>14153</CharactersWithSpaces>
  <Paragraphs>217</Paragraphs>
  <Company>MoBIL GROUP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2019-08-06T12:07:00Z</dcterms:created>
  <dc:creator>Кадры</dc:creator>
  <dc:description/>
  <dc:language>ru-RU</dc:language>
  <cp:lastModifiedBy/>
  <cp:lastPrinted>2021-02-01T14:45:59Z</cp:lastPrinted>
  <dcterms:modified xsi:type="dcterms:W3CDTF">2021-02-01T14:46:31Z</dcterms:modified>
  <cp:revision>23</cp:revision>
  <dc:subject/>
  <dc:title>Образец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MoBIL GROUP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