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b/>
          <w:b/>
        </w:rPr>
      </w:pPr>
      <w:r>
        <w:rPr>
          <w:b/>
        </w:rPr>
        <w:t>В Управлении Росреестра по Рязанской области состоялось итоговое заседание коллегии.</w:t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/>
        <w:t xml:space="preserve">В Управлении Росреестра по Рязанской области (далее – Управление) состоялось заседание коллегии, на котором подведены итоги деятельности за 2020 год и озвучены задачи на 2021 год. </w:t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/>
        <w:t>Особое внимание при рассмотрении вопросов и подведении итогов деятельности ведомства уделялось мероприятиям по улучшению инвестиционного климата в Рязанской области и обеспечению оперативного взаимодействия всех заинтересованных сторон в рамках исполнения полномочий. Рассмотрены существующие проблемы по достижению показателей целевых моделей и осуществлен анализ динамики их достижения.</w:t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/>
        <w:t>Общее количество заявлений, представленных на государственную регистрацию прав, сделок, ограничений, обременений, в том числе с одновременным кадастровым учетом составило в 2020 году 207 763, из них на государственную регистрацию прав – 170 878, о проведении единой процедуры – 11064.</w:t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/>
        <w:t>Общее количество регистрационных действий в 2020 году составило 265 645, в 2019 году – 221788 (увеличение составило 43 857 или 17%), в том числе в отношении физических лиц – 118 260, юридических лиц – 40 821.</w:t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/>
        <w:t>В 2020 году продолжилось увеличение поступления заявлений, поданных нотариусами на государственную регистрацию прав с 24 460 действий в 2019 году, до 35 579 в 2020 году.</w:t>
      </w:r>
    </w:p>
    <w:p>
      <w:pPr>
        <w:pStyle w:val="Normal"/>
        <w:spacing w:lineRule="auto" w:line="240" w:before="0"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Вместе с тем произошло уменьшение зарегистрированных прав на машино-места - с 660 до 580 действий, представленных заявлений в упрощенном порядке на отдельные объекты недвижимости - с 6160 до 679, договоров участия в долевом строительстве - с 16 335 до 10 539.</w:t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/>
        <w:t>Уменьшение показателей связано с проводимыми на территории Рязанской области ограничительными мероприятиями, направленными на обеспечение санитарно-эпидемиологического благополучия населения в связи с распространением новой коронавирусной инфекции (COVID-19).</w:t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/>
        <w:t>В результате проведенных мероприятий в 2020 году Управлением достигнуты следующие показатели целевых моделей: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0" w:hanging="0"/>
        <w:contextualSpacing/>
        <w:jc w:val="both"/>
        <w:rPr/>
      </w:pPr>
      <w:r>
        <w:rPr/>
        <w:t>в сфере осуществления государственного кадастрового учета:</w:t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/>
        <w:t>доля решений о приостановлении –  14,61 % (целевой показатель 15%);</w:t>
        <w:tab/>
        <w:t>доля решений об отказе – 4,58 % (целевой показатель 7%);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0" w:hanging="0"/>
        <w:contextualSpacing/>
        <w:jc w:val="both"/>
        <w:rPr/>
      </w:pPr>
      <w:r>
        <w:rPr/>
        <w:t>в сфере государственной регистрации прав:</w:t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/>
        <w:t>доля решений о приостановлении – 1,6 % (целевой показатель 5%);</w:t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/>
        <w:t>доля решений об отказе –  0,3% (целевой показатель0,9%).</w:t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/>
        <w:t>Важным для Управления направлением явилось реализация Федерального закона от 29.07.2017 № 280-ФЗ в части выявления противоречий в сведениях государственных реестров и установления принадлежности земельного участка к определенной категории земель.  В 2020 году удалось уменьшить разницу в площади земель лесного фонда, имеющуюся в государственном лесном реестре и Едином государственном реестре недвижимости (далее – ЕГРН), на 872 899 166,7 кв.м (87 290 га).</w:t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/>
        <w:t xml:space="preserve">В сфере осуществления государственного земельного надзора и контроля являлось приоритетным направлением в деятельности ведомства на территории Рязанской области проведено 1030 проверок соблюдения земельного законодательства, из них 501 плановая и 529 внеплановых проверок; 408 административных обследования; наложено административных штрафов на сумму 1718,80 тыс. рублей; взыскано 1041,51 тыс. рублей. </w:t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/>
        <w:t>Доля субъектов, допустивших нарушения, выявленные в результате проведения проверок - 89,8% (увеличение составило – 8%).</w:t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/>
        <w:t>Устранено 368 нарушений земельного законодательства. Показатель исполняемости вынесенных предписаний об устранении нарушений в 2020 году составил 100%.</w:t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/>
        <w:t xml:space="preserve">В рамках осуществления функции </w:t>
      </w:r>
      <w:r>
        <w:rPr>
          <w:color w:val="000000"/>
          <w:szCs w:val="28"/>
        </w:rPr>
        <w:t xml:space="preserve">по государственной кадастровой оценке объектов недвижимости </w:t>
      </w:r>
      <w:r>
        <w:rPr/>
        <w:t>в результате проведенных Управлением работ</w:t>
      </w:r>
      <w:r>
        <w:rPr>
          <w:rFonts w:cs="Times New Roman"/>
          <w:szCs w:val="28"/>
        </w:rPr>
        <w:t xml:space="preserve"> на</w:t>
      </w:r>
      <w:r>
        <w:rPr/>
        <w:t xml:space="preserve"> территории Рязанской области утверждены результаты государственной оценки земель сельскохозяйственного назначения в отношении 118 884 земельных участков, что составило 99,99%, и результаты государственной кадастровой оценки зданий, сооружений, помещений различного назначения в отношении 927 913 объектов недвижимости, что составило 99,97%.</w:t>
      </w:r>
    </w:p>
    <w:p>
      <w:pPr>
        <w:pStyle w:val="Normal"/>
        <w:spacing w:lineRule="auto" w:line="240" w:before="0" w:after="0"/>
        <w:ind w:firstLine="72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Количество земельных участков, поставленных на государственный кадастровый учет, составило 701 970 (+4003), из них 331 733 (47%) земельных участков, местоположение границ которых установлено, объектов капитального строительства - 946 167 (+17 184).</w:t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/>
        <w:t>В 2021 году ведомство продолжит выполнение мероприятий в рамках реализации «дорожных карт», направленных на повышение качества государственных услуг.</w:t>
      </w:r>
    </w:p>
    <w:sectPr>
      <w:type w:val="nextPage"/>
      <w:pgSz w:w="11906" w:h="16838"/>
      <w:pgMar w:left="851" w:right="850" w:header="0" w:top="426" w:footer="0" w:bottom="709" w:gutter="0"/>
      <w:pgNumType w:fmt="decimal"/>
      <w:formProt w:val="false"/>
      <w:textDirection w:val="lrTb"/>
      <w:docGrid w:type="default" w:linePitch="360" w:charSpace="4294959103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-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" w:cstheme="minorBidi" w:eastAsiaTheme="minorHAnsi"/>
        <w:sz w:val="28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Times New Roman" w:hAnsi="Times New Roman" w:eastAsia="Calibri" w:cs="" w:cstheme="minorBidi" w:eastAsiaTheme="minorHAnsi"/>
      <w:color w:val="auto"/>
      <w:kern w:val="0"/>
      <w:sz w:val="28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3"/>
    <w:uiPriority w:val="99"/>
    <w:semiHidden/>
    <w:qFormat/>
    <w:rsid w:val="00fb5aea"/>
    <w:rPr>
      <w:rFonts w:ascii="Segoe UI" w:hAnsi="Segoe UI" w:cs="Segoe UI"/>
      <w:sz w:val="18"/>
      <w:szCs w:val="18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fb5aea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36a70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Application>LibreOffice/7.0.4.2$Windows_x86 LibreOffice_project/dcf040e67528d9187c66b2379df5ea4407429775</Application>
  <AppVersion>15.0000</AppVersion>
  <Pages>2</Pages>
  <Words>542</Words>
  <Characters>3751</Characters>
  <CharactersWithSpaces>4287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2018-02-15T12:30:00Z</dcterms:created>
  <dc:creator>322m1</dc:creator>
  <dc:description/>
  <dc:language>ru-RU</dc:language>
  <cp:lastModifiedBy>Пучкина Наталья Владимировна</cp:lastModifiedBy>
  <cp:lastPrinted>2021-03-10T11:11:00Z</cp:lastPrinted>
  <dcterms:modified xsi:type="dcterms:W3CDTF">2021-03-10T11:37:00Z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